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7F19D2">
      <w:pPr>
        <w:keepNext w:val="0"/>
        <w:keepLines w:val="0"/>
        <w:pageBreakBefore w:val="0"/>
        <w:widowControl w:val="0"/>
        <w:kinsoku/>
        <w:wordWrap/>
        <w:overflowPunct/>
        <w:topLinePunct w:val="0"/>
        <w:autoSpaceDE/>
        <w:autoSpaceDN/>
        <w:bidi w:val="0"/>
        <w:adjustRightInd/>
        <w:snapToGrid/>
        <w:spacing w:line="578" w:lineRule="exact"/>
        <w:ind w:firstLine="0" w:firstLineChars="0"/>
        <w:jc w:val="both"/>
        <w:textAlignment w:val="auto"/>
        <w:rPr>
          <w:rFonts w:hint="eastAsia" w:ascii="黑体" w:hAnsi="黑体" w:eastAsia="黑体" w:cs="黑体"/>
          <w:color w:val="000000" w:themeColor="text1"/>
          <w:spacing w:val="0"/>
          <w:sz w:val="32"/>
          <w:szCs w:val="32"/>
          <w:highlight w:val="none"/>
          <w14:textFill>
            <w14:solidFill>
              <w14:schemeClr w14:val="tx1"/>
            </w14:solidFill>
          </w14:textFill>
        </w:rPr>
      </w:pPr>
      <w:r>
        <w:rPr>
          <w:rFonts w:hint="eastAsia" w:ascii="黑体" w:hAnsi="黑体" w:eastAsia="黑体" w:cs="黑体"/>
          <w:color w:val="000000" w:themeColor="text1"/>
          <w:spacing w:val="0"/>
          <w:sz w:val="32"/>
          <w:szCs w:val="32"/>
          <w:highlight w:val="none"/>
          <w14:textFill>
            <w14:solidFill>
              <w14:schemeClr w14:val="tx1"/>
            </w14:solidFill>
          </w14:textFill>
        </w:rPr>
        <w:t>附件2</w:t>
      </w:r>
    </w:p>
    <w:p w14:paraId="76916585">
      <w:pPr>
        <w:keepNext w:val="0"/>
        <w:keepLines w:val="0"/>
        <w:pageBreakBefore w:val="0"/>
        <w:widowControl w:val="0"/>
        <w:kinsoku/>
        <w:wordWrap/>
        <w:overflowPunct/>
        <w:topLinePunct w:val="0"/>
        <w:autoSpaceDE/>
        <w:autoSpaceDN/>
        <w:bidi w:val="0"/>
        <w:adjustRightInd/>
        <w:snapToGrid/>
        <w:spacing w:line="578" w:lineRule="exact"/>
        <w:ind w:firstLine="0" w:firstLineChars="0"/>
        <w:jc w:val="both"/>
        <w:textAlignment w:val="auto"/>
        <w:rPr>
          <w:rFonts w:hint="eastAsia" w:ascii="黑体" w:hAnsi="黑体" w:eastAsia="黑体" w:cs="黑体"/>
          <w:color w:val="000000" w:themeColor="text1"/>
          <w:spacing w:val="0"/>
          <w:sz w:val="32"/>
          <w:szCs w:val="32"/>
          <w:highlight w:val="none"/>
          <w14:textFill>
            <w14:solidFill>
              <w14:schemeClr w14:val="tx1"/>
            </w14:solidFill>
          </w14:textFill>
        </w:rPr>
      </w:pPr>
    </w:p>
    <w:p w14:paraId="36B3FAC3">
      <w:pPr>
        <w:keepNext w:val="0"/>
        <w:keepLines w:val="0"/>
        <w:pageBreakBefore w:val="0"/>
        <w:widowControl w:val="0"/>
        <w:kinsoku/>
        <w:wordWrap/>
        <w:overflowPunct/>
        <w:topLinePunct w:val="0"/>
        <w:autoSpaceDE/>
        <w:autoSpaceDN/>
        <w:bidi w:val="0"/>
        <w:adjustRightInd/>
        <w:snapToGrid/>
        <w:spacing w:line="578" w:lineRule="exact"/>
        <w:ind w:firstLine="0" w:firstLineChars="0"/>
        <w:jc w:val="center"/>
        <w:textAlignment w:val="auto"/>
        <w:rPr>
          <w:rFonts w:hint="eastAsia" w:ascii="方正小标宋简体" w:hAnsi="方正小标宋简体" w:eastAsia="方正小标宋简体" w:cs="方正小标宋简体"/>
          <w:b w:val="0"/>
          <w:bCs w:val="0"/>
          <w:color w:val="000000" w:themeColor="text1"/>
          <w:spacing w:val="0"/>
          <w:sz w:val="44"/>
          <w:szCs w:val="44"/>
          <w:highlight w:val="none"/>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pacing w:val="0"/>
          <w:sz w:val="44"/>
          <w:szCs w:val="44"/>
          <w:highlight w:val="none"/>
          <w:lang w:val="en-US" w:eastAsia="zh-CN"/>
          <w14:textFill>
            <w14:solidFill>
              <w14:schemeClr w14:val="tx1"/>
            </w14:solidFill>
          </w14:textFill>
        </w:rPr>
        <w:t>交城</w:t>
      </w:r>
      <w:r>
        <w:rPr>
          <w:rFonts w:hint="eastAsia" w:ascii="方正小标宋简体" w:hAnsi="方正小标宋简体" w:eastAsia="方正小标宋简体" w:cs="方正小标宋简体"/>
          <w:b w:val="0"/>
          <w:bCs w:val="0"/>
          <w:color w:val="000000" w:themeColor="text1"/>
          <w:spacing w:val="0"/>
          <w:sz w:val="44"/>
          <w:szCs w:val="44"/>
          <w:highlight w:val="none"/>
          <w:lang w:eastAsia="zh-CN"/>
          <w14:textFill>
            <w14:solidFill>
              <w14:schemeClr w14:val="tx1"/>
            </w14:solidFill>
          </w14:textFill>
        </w:rPr>
        <w:t>县</w:t>
      </w:r>
      <w:r>
        <w:rPr>
          <w:rFonts w:hint="eastAsia" w:ascii="方正小标宋简体" w:hAnsi="方正小标宋简体" w:eastAsia="方正小标宋简体" w:cs="方正小标宋简体"/>
          <w:b w:val="0"/>
          <w:bCs w:val="0"/>
          <w:color w:val="000000" w:themeColor="text1"/>
          <w:spacing w:val="0"/>
          <w:sz w:val="44"/>
          <w:szCs w:val="44"/>
          <w:highlight w:val="none"/>
          <w14:textFill>
            <w14:solidFill>
              <w14:schemeClr w14:val="tx1"/>
            </w14:solidFill>
          </w14:textFill>
        </w:rPr>
        <w:t>医疗保障</w:t>
      </w:r>
      <w:r>
        <w:rPr>
          <w:rFonts w:hint="eastAsia" w:ascii="方正小标宋简体" w:hAnsi="方正小标宋简体" w:eastAsia="方正小标宋简体" w:cs="方正小标宋简体"/>
          <w:b w:val="0"/>
          <w:bCs w:val="0"/>
          <w:color w:val="000000" w:themeColor="text1"/>
          <w:spacing w:val="0"/>
          <w:sz w:val="44"/>
          <w:szCs w:val="44"/>
          <w:highlight w:val="none"/>
          <w:lang w:val="en-US" w:eastAsia="zh-CN"/>
          <w14:textFill>
            <w14:solidFill>
              <w14:schemeClr w14:val="tx1"/>
            </w14:solidFill>
          </w14:textFill>
        </w:rPr>
        <w:t>基金监管工作</w:t>
      </w:r>
      <w:r>
        <w:rPr>
          <w:rFonts w:hint="eastAsia" w:ascii="方正小标宋简体" w:hAnsi="方正小标宋简体" w:eastAsia="方正小标宋简体" w:cs="方正小标宋简体"/>
          <w:b w:val="0"/>
          <w:bCs w:val="0"/>
          <w:color w:val="000000" w:themeColor="text1"/>
          <w:spacing w:val="0"/>
          <w:sz w:val="44"/>
          <w:szCs w:val="44"/>
          <w:highlight w:val="none"/>
          <w14:textFill>
            <w14:solidFill>
              <w14:schemeClr w14:val="tx1"/>
            </w14:solidFill>
          </w14:textFill>
        </w:rPr>
        <w:t>联席会议</w:t>
      </w:r>
    </w:p>
    <w:p w14:paraId="10BE34EE">
      <w:pPr>
        <w:keepNext w:val="0"/>
        <w:keepLines w:val="0"/>
        <w:pageBreakBefore w:val="0"/>
        <w:widowControl w:val="0"/>
        <w:kinsoku/>
        <w:wordWrap/>
        <w:overflowPunct/>
        <w:topLinePunct w:val="0"/>
        <w:autoSpaceDE/>
        <w:autoSpaceDN/>
        <w:bidi w:val="0"/>
        <w:adjustRightInd/>
        <w:snapToGrid/>
        <w:spacing w:line="578" w:lineRule="exact"/>
        <w:ind w:firstLine="0" w:firstLineChars="0"/>
        <w:jc w:val="center"/>
        <w:textAlignment w:val="auto"/>
        <w:rPr>
          <w:rFonts w:hint="eastAsia" w:ascii="方正小标宋简体" w:hAnsi="方正小标宋简体" w:eastAsia="方正小标宋简体" w:cs="方正小标宋简体"/>
          <w:b w:val="0"/>
          <w:bCs w:val="0"/>
          <w:color w:val="000000" w:themeColor="text1"/>
          <w:spacing w:val="0"/>
          <w:sz w:val="44"/>
          <w:szCs w:val="44"/>
          <w:highlight w:val="none"/>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pacing w:val="0"/>
          <w:sz w:val="44"/>
          <w:szCs w:val="44"/>
          <w:highlight w:val="none"/>
          <w14:textFill>
            <w14:solidFill>
              <w14:schemeClr w14:val="tx1"/>
            </w14:solidFill>
          </w14:textFill>
        </w:rPr>
        <w:t>成员单位职责</w:t>
      </w:r>
    </w:p>
    <w:p w14:paraId="54E43BF6">
      <w:pPr>
        <w:keepNext w:val="0"/>
        <w:keepLines w:val="0"/>
        <w:pageBreakBefore w:val="0"/>
        <w:widowControl w:val="0"/>
        <w:kinsoku/>
        <w:wordWrap/>
        <w:overflowPunct/>
        <w:topLinePunct w:val="0"/>
        <w:autoSpaceDE/>
        <w:autoSpaceDN/>
        <w:bidi w:val="0"/>
        <w:adjustRightInd/>
        <w:snapToGrid/>
        <w:spacing w:line="578" w:lineRule="exact"/>
        <w:ind w:firstLine="0" w:firstLineChars="0"/>
        <w:jc w:val="both"/>
        <w:textAlignment w:val="auto"/>
        <w:rPr>
          <w:rFonts w:hint="eastAsia" w:ascii="仿宋_GB2312" w:hAnsi="仿宋_GB2312" w:eastAsia="仿宋_GB2312" w:cs="仿宋_GB2312"/>
          <w:b/>
          <w:bCs/>
          <w:color w:val="000000" w:themeColor="text1"/>
          <w:spacing w:val="0"/>
          <w:sz w:val="32"/>
          <w:szCs w:val="32"/>
          <w:highlight w:val="none"/>
          <w14:textFill>
            <w14:solidFill>
              <w14:schemeClr w14:val="tx1"/>
            </w14:solidFill>
          </w14:textFill>
        </w:rPr>
      </w:pPr>
    </w:p>
    <w:p w14:paraId="095168DD">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0"/>
          <w:sz w:val="32"/>
          <w:szCs w:val="32"/>
          <w:highlight w:val="none"/>
          <w:lang w:val="en-US" w:eastAsia="zh-CN"/>
          <w14:textFill>
            <w14:solidFill>
              <w14:schemeClr w14:val="tx1"/>
            </w14:solidFill>
          </w14:textFill>
        </w:rPr>
        <w:t>县人民</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法院</w:t>
      </w: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反馈涉及医疗保障基金的有关案件审理情况及判决文书，依法审判涉及医疗保障基金使用的其他案件。</w:t>
      </w:r>
    </w:p>
    <w:p w14:paraId="7D256323">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0"/>
          <w:sz w:val="32"/>
          <w:szCs w:val="32"/>
          <w:highlight w:val="none"/>
          <w:lang w:val="en-US" w:eastAsia="zh-CN"/>
          <w14:textFill>
            <w14:solidFill>
              <w14:schemeClr w14:val="tx1"/>
            </w14:solidFill>
          </w14:textFill>
        </w:rPr>
        <w:t>县人民</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检察院：依法办理涉及医疗保障欺诈类刑事案件，做好医疗保障欺诈类犯罪案件起诉、公诉工作；依法监督行政执法机关将涉嫌犯罪的欺诈类案件移送刑事处理，做好侦查监督、审判监督工作。</w:t>
      </w:r>
    </w:p>
    <w:p w14:paraId="6F70B223">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县</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公安局：依法查处并打击各类欺诈骗保等违法犯罪活动；加强与</w:t>
      </w: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县医疗保障局</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的行刑衔接协作配合，对移送的涉嫌欺诈骗保犯罪案件线索开展调查，符合立案条件的，及时立案侦查；对</w:t>
      </w: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县医疗保障局</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核查涉嫌欺诈骗保犯罪案件给予专业力量支持；及时向联席会议提供信息核查比对服务。</w:t>
      </w:r>
    </w:p>
    <w:p w14:paraId="4E117EAC">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县医疗保障局</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牵头研究制定医疗保障基金监管相关政策，制定医疗保障基金监管措施；组织联审互查、专项检查；加强对医保经办机构医保服务协议签订、履行、考核等情况的监督，促进医保经办机构业务规范化、标准化；强化对定点医药机构纳入医保基金支付范围的医疗服务行为、医疗费用以及参保人员医保基金使用情况等方面的监管；依法对违反医疗保障相关法律法规、违法使用医疗保障基金的行为，实施协议处理、行政处罚，对涉嫌犯罪的，视情形移送公安机关等部门；为成员单位调查涉嫌医疗保障基金监管案件提供业务咨询和支持；负责做好联席会议办公室日常各项工作。</w:t>
      </w:r>
    </w:p>
    <w:p w14:paraId="60300ADB">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县发展和改革局</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：协同推进医疗保障领域信用体系建设，</w:t>
      </w:r>
      <w:r>
        <w:rPr>
          <w:rFonts w:hint="eastAsia" w:ascii="仿宋_GB2312" w:hAnsi="仿宋_GB2312" w:eastAsia="仿宋_GB2312" w:cs="仿宋_GB2312"/>
          <w:color w:val="000000" w:themeColor="text1"/>
          <w:spacing w:val="0"/>
          <w:sz w:val="32"/>
          <w:szCs w:val="32"/>
          <w:highlight w:val="none"/>
          <w:lang w:val="en-US" w:eastAsia="zh-CN"/>
          <w14:textFill>
            <w14:solidFill>
              <w14:schemeClr w14:val="tx1"/>
            </w14:solidFill>
          </w14:textFill>
        </w:rPr>
        <w:t>指导帮助医疗保障部门制定完善医疗保障基金信用监管、信用评价、信用结果运用、红黑名单和守信激励、失信惩戒机制。</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将医疗保障领域信用信息纳入公共信用信息共享平台，协助推动建立医保信用分级分类监管机制和信用修复、异议申诉机制。</w:t>
      </w:r>
    </w:p>
    <w:p w14:paraId="14E45937">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县民政局：</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加强民政救助对象信息审核，负责提供在</w:t>
      </w:r>
      <w:r>
        <w:rPr>
          <w:rFonts w:hint="eastAsia" w:ascii="仿宋_GB2312" w:hAnsi="仿宋_GB2312" w:eastAsia="仿宋_GB2312" w:cs="仿宋_GB2312"/>
          <w:color w:val="000000" w:themeColor="text1"/>
          <w:spacing w:val="0"/>
          <w:sz w:val="32"/>
          <w:szCs w:val="32"/>
          <w:highlight w:val="none"/>
          <w:lang w:val="en-US" w:eastAsia="zh-CN"/>
          <w14:textFill>
            <w14:solidFill>
              <w14:schemeClr w14:val="tx1"/>
            </w14:solidFill>
          </w14:textFill>
        </w:rPr>
        <w:t>交</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火化人员及相关民政服务对象信息</w:t>
      </w: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协同</w:t>
      </w: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县卫生健康局</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进一步规范医养结合机构的审批、备案工作，加强对医养结合机构中医疗机构的指导、监督和管理</w:t>
      </w: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协助开展有关欺诈骗保案件线索的调查、取证工作。</w:t>
      </w:r>
    </w:p>
    <w:p w14:paraId="2F4B0143">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县司法局：加强与县医疗保障局信息对接，指导做好医疗保障基金监管行政执法工作；根据工作需要及时提供服刑或戒毒人员信息，防止骗保套保；对医保部门依法监管和依法行政进行法律指导，发挥人民调解组织的监督作用，加强对涉及医疗保障领域调解案件的合法合规审查，发现违法违规线索的，及时移送有关部门处理；协同开展医保法律法规宣传工作。</w:t>
      </w:r>
    </w:p>
    <w:p w14:paraId="783EE4CD">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县</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财政局：对医疗保障基金收支、管理和运营进行监督；审核医疗保障基金预算决算；按时足额将医保财政补助资金划入医保专户管理，按月核拨医保基金至</w:t>
      </w: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县医疗保障局</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医保基金支出户，保障医药费用支出；强化对智慧医保建设、支付方式改革相关经费的保障和医保基金的财政监管。</w:t>
      </w:r>
    </w:p>
    <w:p w14:paraId="40C07AEB">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县人力资源和社会保障局：</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对违规医务人员职称评定、专家评审方面予以限制，协助做好医疗保障相关工作。</w:t>
      </w:r>
    </w:p>
    <w:p w14:paraId="3E05BAF0">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pacing w:val="0"/>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highlight w:val="none"/>
          <w:lang w:val="en-US" w:eastAsia="zh-CN"/>
          <w14:textFill>
            <w14:solidFill>
              <w14:schemeClr w14:val="tx1"/>
            </w14:solidFill>
          </w14:textFill>
        </w:rPr>
        <w:t>县农业农村局：负责加强与县医疗保障局信息对接，协同推进农村医疗保障工作。</w:t>
      </w:r>
    </w:p>
    <w:p w14:paraId="310B56A1">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县卫生健康局：</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强化行业管理职责，加强医疗机构和医疗服务行为的监督管理，严格医疗卫生执法，治理医疗机构未取得执业许可或超过执业许可内容开展执业活动的行为，加强对医疗机构的行业监管，指导医疗机构全面开展临床路径管理工作，规范病案首页管理，科学控制医疗费用不合理增长；规范医疗机构及医务人员医疗服务行为，提升医务人员职业操守和职业道德；发现并依法查处医疗机构超出许可范围开展执业活动、违法违规开展医疗检查、违反诊疗规范的等行为；根据相关部门通报的医疗机构及个人违规情况，对医疗机构及相关人员依法依规予以处理。</w:t>
      </w:r>
    </w:p>
    <w:p w14:paraId="29085ABB">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县市场监督管理局：</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开展医疗卫生行业价格监督执法，开展医药服务价格监督检查，治理乱收费现象；加强医药企业生产经营活动的监督管理，重点对药品耗材价格、遵守药品购销记录和凭证保存规定进行监督检查，依法查处欺诈骗保所涉及医疗机构的药品、医疗器械违法案件；加强药品流通监管，规范药品经营行为，组织整顿和规范药品市场秩序；对医疗机构和零售药店的药品进货渠道进行监督检查，打击非法购药购械行为；对违反医疗卫生行业价格、药品经营管理的相关信息进行通报。</w:t>
      </w:r>
    </w:p>
    <w:p w14:paraId="4CA0103F">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县退役军人事务局：</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及时提供相关优抚对象信息，协助做好优抚对象医疗保障工作。</w:t>
      </w:r>
    </w:p>
    <w:p w14:paraId="362A49F5">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县审计局：对全县医保基金使用情</w:t>
      </w:r>
      <w:bookmarkStart w:id="0" w:name="_GoBack"/>
      <w:bookmarkEnd w:id="0"/>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况进行审计监督，并提出审计意见建议；发现违法违规线索的，及时移送有关部门处理。</w:t>
      </w:r>
    </w:p>
    <w:p w14:paraId="06097BE9">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pacing w:val="0"/>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highlight w:val="none"/>
          <w:lang w:val="en-US" w:eastAsia="zh-CN"/>
          <w14:textFill>
            <w14:solidFill>
              <w14:schemeClr w14:val="tx1"/>
            </w14:solidFill>
          </w14:textFill>
        </w:rPr>
        <w:t>县委老干部局：保障离休干部群体的医疗保障权益，通过信息共享、政策协同和具体事务协助，确保医保基金使用的精准性和安全性。</w:t>
      </w:r>
    </w:p>
    <w:p w14:paraId="2F3C5421">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国家税务总局交城县税务局：</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依法征收社会保险费征管职责划转范围的参保单位及参保人员缴纳</w:t>
      </w: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的</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医疗保险费用，及时与</w:t>
      </w: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县医疗保障局</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对接征缴信息，做好信息比对。</w:t>
      </w:r>
    </w:p>
    <w:p w14:paraId="1530DBB4">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0"/>
          <w:sz w:val="32"/>
          <w:szCs w:val="32"/>
          <w:highlight w:val="none"/>
          <w:lang w:val="en-US" w:eastAsia="zh-CN"/>
          <w14:textFill>
            <w14:solidFill>
              <w14:schemeClr w14:val="tx1"/>
            </w14:solidFill>
          </w14:textFill>
        </w:rPr>
        <w:t>国家金融监督管理总局交城监管支局：</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加强大病保险业务的全流程监管，依法查处违法违规行为，维护正常的市场秩序，严格防范风险，保护被保险人合法权益，推动行业不断改进服务质量和水平</w:t>
      </w: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协助开展有关欺诈骗保案件线索的调查、取证工作。</w:t>
      </w:r>
    </w:p>
    <w:p w14:paraId="5B9CB4A6">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县残疾人联合会：</w:t>
      </w: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及时提供残疾人员信息，协助做好残疾人员医疗保障工作。</w:t>
      </w:r>
    </w:p>
    <w:p w14:paraId="2A0B44B3">
      <w:pPr>
        <w:bidi w:val="0"/>
        <w:rPr>
          <w:rFonts w:hint="eastAsia"/>
          <w:color w:val="000000" w:themeColor="text1"/>
          <w:highlight w:val="none"/>
          <w14:textFill>
            <w14:solidFill>
              <w14:schemeClr w14:val="tx1"/>
            </w14:solidFill>
          </w14:textFill>
        </w:rPr>
      </w:pPr>
    </w:p>
    <w:p w14:paraId="1BF4060B">
      <w:pPr>
        <w:bidi w:val="0"/>
        <w:rPr>
          <w:rFonts w:hint="eastAsia"/>
          <w:color w:val="000000" w:themeColor="text1"/>
          <w:highlight w:val="none"/>
          <w14:textFill>
            <w14:solidFill>
              <w14:schemeClr w14:val="tx1"/>
            </w14:solidFill>
          </w14:textFill>
        </w:rPr>
      </w:pPr>
    </w:p>
    <w:p w14:paraId="440D1559">
      <w:pPr>
        <w:bidi w:val="0"/>
        <w:rPr>
          <w:rFonts w:hint="eastAsia"/>
          <w:color w:val="000000" w:themeColor="text1"/>
          <w:highlight w:val="none"/>
          <w14:textFill>
            <w14:solidFill>
              <w14:schemeClr w14:val="tx1"/>
            </w14:solidFill>
          </w14:textFill>
        </w:rPr>
      </w:pPr>
    </w:p>
    <w:p w14:paraId="216FA9DF">
      <w:pPr>
        <w:bidi w:val="0"/>
        <w:rPr>
          <w:rFonts w:hint="eastAsia"/>
          <w:color w:val="000000" w:themeColor="text1"/>
          <w:highlight w:val="none"/>
          <w14:textFill>
            <w14:solidFill>
              <w14:schemeClr w14:val="tx1"/>
            </w14:solidFill>
          </w14:textFill>
        </w:rPr>
      </w:pPr>
    </w:p>
    <w:p w14:paraId="225EFF9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BF5F17"/>
    <w:rsid w:val="77BF5F17"/>
    <w:rsid w:val="7CBC5C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2008</Words>
  <Characters>2008</Characters>
  <Lines>0</Lines>
  <Paragraphs>0</Paragraphs>
  <TotalTime>0</TotalTime>
  <ScaleCrop>false</ScaleCrop>
  <LinksUpToDate>false</LinksUpToDate>
  <CharactersWithSpaces>2008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2025-06-05T16:31:00Z</dcterms:created>
  <dc:creator>greatwall</dc:creator>
  <cp:lastModifiedBy>遗憾</cp:lastModifiedBy>
  <dcterms:modified xsi:type="dcterms:W3CDTF">2025-06-05T09:55:46Z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eyJoZGlkIjoiMGUzZjcxMWE3YmQ5OGYxNTA0NTEwOTVjMjkyYzNkYjciLCJ1c2VySWQiOiI3MTc5MTUxMDUifQ==</vt:lpwstr>
  </property>
  <property fmtid="{D5CDD505-2E9C-101B-9397-08002B2CF9AE}" pid="4" name="ICV">
    <vt:lpwstr>E4A21CF5B0044706979FFE594FD3BD0B_12</vt:lpwstr>
  </property>
</Properties>
</file>